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0C5284" w14:textId="119441D3" w:rsidR="00435ECD" w:rsidRDefault="00435ECD"/>
    <w:p w14:paraId="5D4F97D1" w14:textId="77777777" w:rsidR="00435ECD" w:rsidRDefault="00435ECD"/>
    <w:p w14:paraId="0224DDD5" w14:textId="4D101F75" w:rsidR="00D74320" w:rsidRPr="00435ECD" w:rsidRDefault="00CF0F97">
      <w:pPr>
        <w:rPr>
          <w:b/>
          <w:sz w:val="38"/>
        </w:rPr>
      </w:pPr>
      <w:r>
        <w:rPr>
          <w:noProof/>
          <w:lang w:eastAsia="de-DE"/>
        </w:rPr>
        <w:drawing>
          <wp:anchor distT="0" distB="0" distL="114300" distR="114300" simplePos="0" relativeHeight="251658240" behindDoc="1" locked="0" layoutInCell="1" allowOverlap="1" wp14:anchorId="7BBA838E" wp14:editId="7429A719">
            <wp:simplePos x="0" y="0"/>
            <wp:positionH relativeFrom="column">
              <wp:posOffset>4396105</wp:posOffset>
            </wp:positionH>
            <wp:positionV relativeFrom="paragraph">
              <wp:posOffset>-499745</wp:posOffset>
            </wp:positionV>
            <wp:extent cx="1758950" cy="124396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MB-Sticker2.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58950" cy="1243965"/>
                    </a:xfrm>
                    <a:prstGeom prst="rect">
                      <a:avLst/>
                    </a:prstGeom>
                  </pic:spPr>
                </pic:pic>
              </a:graphicData>
            </a:graphic>
          </wp:anchor>
        </w:drawing>
      </w:r>
      <w:r w:rsidR="00D74320">
        <w:t>Ganz legales Unrecht</w:t>
      </w:r>
      <w:r>
        <w:t>?</w:t>
      </w:r>
      <w:r>
        <w:br/>
      </w:r>
      <w:r w:rsidR="00D74320" w:rsidRPr="00435ECD">
        <w:rPr>
          <w:b/>
          <w:sz w:val="38"/>
        </w:rPr>
        <w:t xml:space="preserve">Bleiberecht für unsere Kollegin </w:t>
      </w:r>
      <w:r w:rsidR="00435ECD" w:rsidRPr="00435ECD">
        <w:rPr>
          <w:b/>
          <w:sz w:val="38"/>
        </w:rPr>
        <w:br/>
      </w:r>
      <w:r w:rsidR="00D74320" w:rsidRPr="00435ECD">
        <w:rPr>
          <w:b/>
          <w:sz w:val="38"/>
        </w:rPr>
        <w:t>und Freundin Banu Büyükavci</w:t>
      </w:r>
      <w:r w:rsidR="00435ECD">
        <w:rPr>
          <w:b/>
          <w:sz w:val="38"/>
        </w:rPr>
        <w:t>!</w:t>
      </w:r>
    </w:p>
    <w:p w14:paraId="5B5EF0C5" w14:textId="69842B4A" w:rsidR="00D74320" w:rsidRDefault="00D74320"/>
    <w:p w14:paraId="0E7DB497" w14:textId="45E7FEDD" w:rsidR="00435ECD" w:rsidRDefault="00435ECD" w:rsidP="00435ECD">
      <w:pPr>
        <w:jc w:val="right"/>
      </w:pPr>
      <w:r>
        <w:t>Nürnberg, den 20.09.2023</w:t>
      </w:r>
    </w:p>
    <w:p w14:paraId="78276FF8" w14:textId="77777777" w:rsidR="00435ECD" w:rsidRDefault="00435ECD">
      <w:pPr>
        <w:rPr>
          <w:sz w:val="26"/>
        </w:rPr>
      </w:pPr>
    </w:p>
    <w:p w14:paraId="64479ED7" w14:textId="1910D195" w:rsidR="00D74320" w:rsidRPr="00435ECD" w:rsidRDefault="00D74320">
      <w:pPr>
        <w:rPr>
          <w:sz w:val="26"/>
        </w:rPr>
      </w:pPr>
      <w:r w:rsidRPr="00435ECD">
        <w:rPr>
          <w:sz w:val="26"/>
        </w:rPr>
        <w:t>Die Kampagne #BanuMussBleiben von Dezember 2020 bis September 2021 war getragen vom Willen breite</w:t>
      </w:r>
      <w:r w:rsidR="00A92C15">
        <w:rPr>
          <w:sz w:val="26"/>
        </w:rPr>
        <w:t>ster</w:t>
      </w:r>
      <w:r w:rsidRPr="00435ECD">
        <w:rPr>
          <w:sz w:val="26"/>
        </w:rPr>
        <w:t xml:space="preserve"> zivilgesellschaftlicher Gruppen, die Ausweisung und Abschiebung der Nürnberger Ärztin </w:t>
      </w:r>
      <w:r w:rsidR="00A92C15">
        <w:rPr>
          <w:sz w:val="26"/>
        </w:rPr>
        <w:t xml:space="preserve">Dr. </w:t>
      </w:r>
      <w:r w:rsidRPr="00435ECD">
        <w:rPr>
          <w:sz w:val="26"/>
        </w:rPr>
        <w:t>Banu Büyükavci zu verhindern. Tatsächlich gelang es, die damaligen Entscheidungsträger von der Unsinnigkeit, mindestens der Unverhältnismäßigkeit einer Ausweisung zu überzeugen: Banu hatte sich nichts zu Schulde</w:t>
      </w:r>
      <w:r w:rsidR="00455D31" w:rsidRPr="00435ECD">
        <w:rPr>
          <w:sz w:val="26"/>
        </w:rPr>
        <w:t>n</w:t>
      </w:r>
      <w:r w:rsidRPr="00435ECD">
        <w:rPr>
          <w:sz w:val="26"/>
        </w:rPr>
        <w:t xml:space="preserve"> kommen lassen</w:t>
      </w:r>
      <w:r w:rsidR="00455D31" w:rsidRPr="00435ECD">
        <w:rPr>
          <w:sz w:val="26"/>
        </w:rPr>
        <w:t xml:space="preserve"> –</w:t>
      </w:r>
      <w:r w:rsidRPr="00435ECD">
        <w:rPr>
          <w:sz w:val="26"/>
        </w:rPr>
        <w:t xml:space="preserve"> außer ihrer kommunistischen Gesinnung und der unterstellten Mitgliedschaft in einer Partei, welche das Erdogan-Regime als terroristisch einstuft. Eine separate Verfolgungsermächtigung des Bundesjustizministeriums machte es erst möglich, dass die Mitgliedschaft in einer (nur) von der Türkei als terroristische eingestuften Gruppierung in Deutschland sanktioniert werden durfte, was i</w:t>
      </w:r>
      <w:bookmarkStart w:id="0" w:name="_GoBack"/>
      <w:bookmarkEnd w:id="0"/>
      <w:r w:rsidRPr="00435ECD">
        <w:rPr>
          <w:sz w:val="26"/>
        </w:rPr>
        <w:t>m sogenannten „Münchner Kommunistenprozess“ dann auch geschah.</w:t>
      </w:r>
    </w:p>
    <w:p w14:paraId="2AA596D1" w14:textId="205AB9BE" w:rsidR="00D74320" w:rsidRPr="00435ECD" w:rsidRDefault="00D74320">
      <w:pPr>
        <w:rPr>
          <w:sz w:val="26"/>
        </w:rPr>
      </w:pPr>
      <w:r w:rsidRPr="00435ECD">
        <w:rPr>
          <w:sz w:val="26"/>
        </w:rPr>
        <w:t xml:space="preserve">Nach Ausschöpfung der letzten Rechtsmittel im </w:t>
      </w:r>
      <w:r w:rsidR="00A92C15">
        <w:rPr>
          <w:sz w:val="26"/>
        </w:rPr>
        <w:t xml:space="preserve">zugrundeliegenden </w:t>
      </w:r>
      <w:r w:rsidRPr="00435ECD">
        <w:rPr>
          <w:sz w:val="26"/>
        </w:rPr>
        <w:t xml:space="preserve">Strafverfahren wollten sich </w:t>
      </w:r>
      <w:r w:rsidR="00455D31" w:rsidRPr="00435ECD">
        <w:rPr>
          <w:sz w:val="26"/>
        </w:rPr>
        <w:t xml:space="preserve">die </w:t>
      </w:r>
      <w:r w:rsidRPr="00435ECD">
        <w:rPr>
          <w:sz w:val="26"/>
        </w:rPr>
        <w:t xml:space="preserve">Stadt Nürnberg und </w:t>
      </w:r>
      <w:r w:rsidR="00455D31" w:rsidRPr="00435ECD">
        <w:rPr>
          <w:sz w:val="26"/>
        </w:rPr>
        <w:t xml:space="preserve">das Bayerische </w:t>
      </w:r>
      <w:r w:rsidRPr="00435ECD">
        <w:rPr>
          <w:sz w:val="26"/>
        </w:rPr>
        <w:t>Innenministerium ganz offensichtlich nicht erneut die Finger verbrennen</w:t>
      </w:r>
      <w:r w:rsidR="00306B39" w:rsidRPr="00435ECD">
        <w:rPr>
          <w:sz w:val="26"/>
        </w:rPr>
        <w:t xml:space="preserve"> und haben die Angelegenheit an das „Landesamt für</w:t>
      </w:r>
      <w:r w:rsidR="001662FB">
        <w:rPr>
          <w:sz w:val="26"/>
        </w:rPr>
        <w:t xml:space="preserve"> Asyl und Rückführung“ (LfA</w:t>
      </w:r>
      <w:r w:rsidR="00306B39" w:rsidRPr="00435ECD">
        <w:rPr>
          <w:sz w:val="26"/>
        </w:rPr>
        <w:t>R)</w:t>
      </w:r>
      <w:r w:rsidR="00455D31" w:rsidRPr="00435ECD">
        <w:rPr>
          <w:sz w:val="26"/>
        </w:rPr>
        <w:t xml:space="preserve"> übergeben. Die</w:t>
      </w:r>
      <w:r w:rsidR="00CF0F97" w:rsidRPr="00435ECD">
        <w:rPr>
          <w:sz w:val="26"/>
        </w:rPr>
        <w:t>ses</w:t>
      </w:r>
      <w:r w:rsidR="00455D31" w:rsidRPr="00435ECD">
        <w:rPr>
          <w:sz w:val="26"/>
        </w:rPr>
        <w:t xml:space="preserve"> hat Banu Büyükavci umgehend einen Ausweisungsbescheid zugestellt und </w:t>
      </w:r>
      <w:r w:rsidR="00306B39" w:rsidRPr="00435ECD">
        <w:rPr>
          <w:sz w:val="26"/>
        </w:rPr>
        <w:t>wird nun</w:t>
      </w:r>
      <w:r w:rsidR="00455D31" w:rsidRPr="00435ECD">
        <w:rPr>
          <w:sz w:val="26"/>
        </w:rPr>
        <w:t xml:space="preserve"> konsequent</w:t>
      </w:r>
      <w:r w:rsidR="00306B39" w:rsidRPr="00435ECD">
        <w:rPr>
          <w:sz w:val="26"/>
        </w:rPr>
        <w:t xml:space="preserve"> </w:t>
      </w:r>
      <w:r w:rsidR="00455D31" w:rsidRPr="00435ECD">
        <w:rPr>
          <w:sz w:val="26"/>
        </w:rPr>
        <w:t>ihre</w:t>
      </w:r>
      <w:r w:rsidR="00306B39" w:rsidRPr="00435ECD">
        <w:rPr>
          <w:sz w:val="26"/>
        </w:rPr>
        <w:t xml:space="preserve"> Ausweisung betreiben.</w:t>
      </w:r>
    </w:p>
    <w:p w14:paraId="2D979B4E" w14:textId="55E62F3B" w:rsidR="00306B39" w:rsidRPr="00435ECD" w:rsidRDefault="00306B39">
      <w:pPr>
        <w:rPr>
          <w:sz w:val="26"/>
        </w:rPr>
      </w:pPr>
      <w:r w:rsidRPr="00435ECD">
        <w:rPr>
          <w:sz w:val="26"/>
        </w:rPr>
        <w:t xml:space="preserve">Wenn es vor zwei Jahren keinen Grund für eine Ausweisung gab, dann gibt es ihn heute erst recht nicht. </w:t>
      </w:r>
      <w:r w:rsidR="00455D31" w:rsidRPr="00435ECD">
        <w:rPr>
          <w:sz w:val="26"/>
        </w:rPr>
        <w:t xml:space="preserve">Banu Büyükavci ist weiterhin bestens in der BRD integriert und arbeitet als angesehene Fachärztin für Psychiatrie am Klinikum Nürnberg. </w:t>
      </w:r>
      <w:r w:rsidRPr="00435ECD">
        <w:rPr>
          <w:sz w:val="26"/>
        </w:rPr>
        <w:t>Soweit eine „Bewährung“ überhaupt erforderlich war, so hat sie sich auch in den letzten beiden Jahren bewährt.</w:t>
      </w:r>
      <w:r w:rsidR="00F97596" w:rsidRPr="00435ECD">
        <w:rPr>
          <w:sz w:val="26"/>
        </w:rPr>
        <w:t xml:space="preserve"> Eine Ausweisung ist daher sachlich nicht zu begründen, auch wenn es die derzeitige Gesetzeslage </w:t>
      </w:r>
      <w:r w:rsidR="003631E5" w:rsidRPr="00435ECD">
        <w:rPr>
          <w:sz w:val="26"/>
        </w:rPr>
        <w:t xml:space="preserve">im Rahmen der Ermessensausübung </w:t>
      </w:r>
      <w:r w:rsidR="00F97596" w:rsidRPr="00435ECD">
        <w:rPr>
          <w:sz w:val="26"/>
        </w:rPr>
        <w:t>zulassen mag.</w:t>
      </w:r>
    </w:p>
    <w:p w14:paraId="2C2DCED6" w14:textId="686753A3" w:rsidR="00306B39" w:rsidRPr="00435ECD" w:rsidRDefault="00306B39">
      <w:pPr>
        <w:rPr>
          <w:sz w:val="26"/>
        </w:rPr>
      </w:pPr>
      <w:r w:rsidRPr="00435ECD">
        <w:rPr>
          <w:sz w:val="26"/>
        </w:rPr>
        <w:t>D</w:t>
      </w:r>
      <w:r w:rsidR="001662FB">
        <w:rPr>
          <w:sz w:val="26"/>
        </w:rPr>
        <w:t>ie Entscheidung des anonymen LfA</w:t>
      </w:r>
      <w:r w:rsidRPr="00435ECD">
        <w:rPr>
          <w:sz w:val="26"/>
        </w:rPr>
        <w:t xml:space="preserve">R ist unverständlich, falsch, kalt und zynisch. Die Abgabe des Verfahrens </w:t>
      </w:r>
      <w:r w:rsidR="00455D31" w:rsidRPr="00435ECD">
        <w:rPr>
          <w:sz w:val="26"/>
        </w:rPr>
        <w:t>von der</w:t>
      </w:r>
      <w:r w:rsidRPr="00435ECD">
        <w:rPr>
          <w:sz w:val="26"/>
        </w:rPr>
        <w:t xml:space="preserve"> Stadt Nürnberg</w:t>
      </w:r>
      <w:r w:rsidR="001662FB">
        <w:rPr>
          <w:sz w:val="26"/>
        </w:rPr>
        <w:t xml:space="preserve"> an das LfA</w:t>
      </w:r>
      <w:r w:rsidR="00455D31" w:rsidRPr="00435ECD">
        <w:rPr>
          <w:sz w:val="26"/>
        </w:rPr>
        <w:t>R</w:t>
      </w:r>
      <w:r w:rsidRPr="00435ECD">
        <w:rPr>
          <w:sz w:val="26"/>
        </w:rPr>
        <w:t xml:space="preserve"> </w:t>
      </w:r>
      <w:r w:rsidR="003631E5" w:rsidRPr="00435ECD">
        <w:rPr>
          <w:sz w:val="26"/>
        </w:rPr>
        <w:t xml:space="preserve">war </w:t>
      </w:r>
      <w:r w:rsidRPr="00435ECD">
        <w:rPr>
          <w:sz w:val="26"/>
        </w:rPr>
        <w:t>kleinmütig, unsouverän und schlicht feige.</w:t>
      </w:r>
      <w:r w:rsidR="003631E5" w:rsidRPr="00435ECD">
        <w:rPr>
          <w:sz w:val="26"/>
        </w:rPr>
        <w:t xml:space="preserve"> </w:t>
      </w:r>
    </w:p>
    <w:p w14:paraId="238BA2D0" w14:textId="473295F5" w:rsidR="00435ECD" w:rsidRDefault="00435ECD">
      <w:r>
        <w:br w:type="page"/>
      </w:r>
    </w:p>
    <w:p w14:paraId="7AAFC120" w14:textId="6D1960F0" w:rsidR="00435ECD" w:rsidRDefault="00435ECD">
      <w:r>
        <w:rPr>
          <w:noProof/>
          <w:lang w:eastAsia="de-DE"/>
        </w:rPr>
        <w:lastRenderedPageBreak/>
        <w:drawing>
          <wp:anchor distT="0" distB="0" distL="114300" distR="114300" simplePos="0" relativeHeight="251662336" behindDoc="1" locked="0" layoutInCell="1" allowOverlap="1" wp14:anchorId="55ABCCE9" wp14:editId="4C0FAD3B">
            <wp:simplePos x="0" y="0"/>
            <wp:positionH relativeFrom="column">
              <wp:posOffset>5180539</wp:posOffset>
            </wp:positionH>
            <wp:positionV relativeFrom="paragraph">
              <wp:posOffset>-147320</wp:posOffset>
            </wp:positionV>
            <wp:extent cx="1031666" cy="72961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MB-Sticker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40490" cy="735855"/>
                    </a:xfrm>
                    <a:prstGeom prst="rect">
                      <a:avLst/>
                    </a:prstGeom>
                  </pic:spPr>
                </pic:pic>
              </a:graphicData>
            </a:graphic>
            <wp14:sizeRelH relativeFrom="margin">
              <wp14:pctWidth>0</wp14:pctWidth>
            </wp14:sizeRelH>
            <wp14:sizeRelV relativeFrom="margin">
              <wp14:pctHeight>0</wp14:pctHeight>
            </wp14:sizeRelV>
          </wp:anchor>
        </w:drawing>
      </w:r>
    </w:p>
    <w:p w14:paraId="7464B6DD" w14:textId="02A773FD" w:rsidR="00306B39" w:rsidRPr="00435ECD" w:rsidRDefault="00306B39">
      <w:pPr>
        <w:rPr>
          <w:b/>
          <w:sz w:val="26"/>
        </w:rPr>
      </w:pPr>
      <w:r w:rsidRPr="00435ECD">
        <w:rPr>
          <w:b/>
          <w:sz w:val="26"/>
        </w:rPr>
        <w:t>Wir fordern daher</w:t>
      </w:r>
      <w:r w:rsidR="00435ECD">
        <w:rPr>
          <w:b/>
          <w:sz w:val="26"/>
        </w:rPr>
        <w:t xml:space="preserve"> …</w:t>
      </w:r>
    </w:p>
    <w:p w14:paraId="56C8354B" w14:textId="2FA1D0D6" w:rsidR="00306B39" w:rsidRPr="00435ECD" w:rsidRDefault="00435ECD">
      <w:pPr>
        <w:rPr>
          <w:b/>
          <w:sz w:val="28"/>
          <w:u w:val="single"/>
        </w:rPr>
      </w:pPr>
      <w:r>
        <w:rPr>
          <w:b/>
          <w:sz w:val="28"/>
          <w:u w:val="single"/>
        </w:rPr>
        <w:t>… v</w:t>
      </w:r>
      <w:r w:rsidR="00306B39" w:rsidRPr="00435ECD">
        <w:rPr>
          <w:b/>
          <w:sz w:val="28"/>
          <w:u w:val="single"/>
        </w:rPr>
        <w:t xml:space="preserve">on den Bundestagsabgeordneten des Freistaates </w:t>
      </w:r>
      <w:r w:rsidR="00E60C42" w:rsidRPr="00435ECD">
        <w:rPr>
          <w:b/>
          <w:sz w:val="28"/>
          <w:u w:val="single"/>
        </w:rPr>
        <w:t>Bayern</w:t>
      </w:r>
      <w:r w:rsidR="00306B39" w:rsidRPr="00435ECD">
        <w:rPr>
          <w:b/>
          <w:sz w:val="28"/>
          <w:u w:val="single"/>
        </w:rPr>
        <w:t>:</w:t>
      </w:r>
    </w:p>
    <w:p w14:paraId="59B16592" w14:textId="77777777" w:rsidR="00306B39" w:rsidRPr="00435ECD" w:rsidRDefault="00306B39">
      <w:pPr>
        <w:rPr>
          <w:b/>
        </w:rPr>
      </w:pPr>
      <w:r w:rsidRPr="00435ECD">
        <w:rPr>
          <w:b/>
        </w:rPr>
        <w:t>Setzen Sie</w:t>
      </w:r>
      <w:r w:rsidR="00E60C42" w:rsidRPr="00435ECD">
        <w:rPr>
          <w:b/>
        </w:rPr>
        <w:t xml:space="preserve"> sich </w:t>
      </w:r>
      <w:r w:rsidR="00F97596" w:rsidRPr="00435ECD">
        <w:rPr>
          <w:b/>
        </w:rPr>
        <w:t xml:space="preserve">bitte </w:t>
      </w:r>
      <w:r w:rsidR="00E60C42" w:rsidRPr="00435ECD">
        <w:rPr>
          <w:b/>
        </w:rPr>
        <w:t>dafür ein, dass der G</w:t>
      </w:r>
      <w:r w:rsidR="00F97596" w:rsidRPr="00435ECD">
        <w:rPr>
          <w:b/>
        </w:rPr>
        <w:t>e</w:t>
      </w:r>
      <w:r w:rsidR="00E60C42" w:rsidRPr="00435ECD">
        <w:rPr>
          <w:b/>
        </w:rPr>
        <w:t>sinnungsparagraf</w:t>
      </w:r>
      <w:r w:rsidR="00F97596" w:rsidRPr="00435ECD">
        <w:rPr>
          <w:b/>
        </w:rPr>
        <w:t xml:space="preserve"> §129b StGB abgeschafft wird. Dieser stellt keine konkrete Tat unter Strafe, sondern ausschließlich die Mitgliedschaft in einer im Ausland als terroristisch eingestuften Vereinigung. Die Entscheidung über die Strafverfolgung liegt zudem bei der Exekutive, was rechtssystematisch einen Verstoß gegen die Gewaltenteilung darstellt.</w:t>
      </w:r>
    </w:p>
    <w:p w14:paraId="05927E64" w14:textId="703E4C31" w:rsidR="00F97596" w:rsidRPr="00435ECD" w:rsidRDefault="00435ECD">
      <w:pPr>
        <w:rPr>
          <w:b/>
          <w:sz w:val="28"/>
          <w:u w:val="single"/>
        </w:rPr>
      </w:pPr>
      <w:r>
        <w:rPr>
          <w:b/>
          <w:sz w:val="28"/>
          <w:u w:val="single"/>
        </w:rPr>
        <w:t>…v</w:t>
      </w:r>
      <w:r w:rsidR="00F97596" w:rsidRPr="00435ECD">
        <w:rPr>
          <w:b/>
          <w:sz w:val="28"/>
          <w:u w:val="single"/>
        </w:rPr>
        <w:t>on OB Marcus König:</w:t>
      </w:r>
    </w:p>
    <w:p w14:paraId="60076877" w14:textId="77777777" w:rsidR="00F97596" w:rsidRPr="00435ECD" w:rsidRDefault="00F97596">
      <w:pPr>
        <w:rPr>
          <w:b/>
        </w:rPr>
      </w:pPr>
      <w:r w:rsidRPr="00435ECD">
        <w:rPr>
          <w:b/>
        </w:rPr>
        <w:t>Setzen Sie sich bitte dafür ein, dass das Verfahren zurück nach Nürnberg kommt und der ergan</w:t>
      </w:r>
      <w:r w:rsidR="003631E5" w:rsidRPr="00435ECD">
        <w:rPr>
          <w:b/>
        </w:rPr>
        <w:t>gene Ausweisungsbescheid zurück</w:t>
      </w:r>
      <w:r w:rsidRPr="00435ECD">
        <w:rPr>
          <w:b/>
        </w:rPr>
        <w:t>genommen wird.</w:t>
      </w:r>
    </w:p>
    <w:p w14:paraId="173F8888" w14:textId="73C5033E" w:rsidR="00F97596" w:rsidRPr="00435ECD" w:rsidRDefault="00435ECD">
      <w:pPr>
        <w:rPr>
          <w:b/>
          <w:sz w:val="28"/>
          <w:u w:val="single"/>
        </w:rPr>
      </w:pPr>
      <w:r>
        <w:rPr>
          <w:b/>
          <w:sz w:val="28"/>
          <w:u w:val="single"/>
        </w:rPr>
        <w:t>…v</w:t>
      </w:r>
      <w:r w:rsidR="00F97596" w:rsidRPr="00435ECD">
        <w:rPr>
          <w:b/>
          <w:sz w:val="28"/>
          <w:u w:val="single"/>
        </w:rPr>
        <w:t>on Justizminister Dr. Marco Buschmann:</w:t>
      </w:r>
    </w:p>
    <w:p w14:paraId="7B658113" w14:textId="4735E9F0" w:rsidR="00F97596" w:rsidRPr="00435ECD" w:rsidRDefault="00435ECD">
      <w:pPr>
        <w:rPr>
          <w:b/>
        </w:rPr>
      </w:pPr>
      <w:r>
        <w:rPr>
          <w:b/>
        </w:rPr>
        <w:t>… n</w:t>
      </w:r>
      <w:r w:rsidR="00F97596" w:rsidRPr="00435ECD">
        <w:rPr>
          <w:b/>
        </w:rPr>
        <w:t>ehmen Sie bitte die Verfolgungsermächtigung gegen die TKP/ML und deren Auslandsorganisationen zurück!</w:t>
      </w:r>
      <w:r w:rsidR="003631E5" w:rsidRPr="00435ECD">
        <w:rPr>
          <w:b/>
        </w:rPr>
        <w:t xml:space="preserve"> Diese Organi</w:t>
      </w:r>
      <w:r w:rsidR="00B660AF" w:rsidRPr="00435ECD">
        <w:rPr>
          <w:b/>
        </w:rPr>
        <w:t>s</w:t>
      </w:r>
      <w:r w:rsidR="003631E5" w:rsidRPr="00435ECD">
        <w:rPr>
          <w:b/>
        </w:rPr>
        <w:t>ation wird (weiterhin</w:t>
      </w:r>
      <w:r w:rsidR="00B660AF" w:rsidRPr="00435ECD">
        <w:rPr>
          <w:b/>
        </w:rPr>
        <w:t>) in der BRD nicht als terroristisch eingestuft. Eine Gefahr für das deutsche Gemeinwesen durch jene ist nicht zu erkennen</w:t>
      </w:r>
    </w:p>
    <w:p w14:paraId="0015B489" w14:textId="77777777" w:rsidR="003631E5" w:rsidRDefault="003631E5"/>
    <w:p w14:paraId="5BBB9E58" w14:textId="7A5C6A56" w:rsidR="003631E5" w:rsidRDefault="003631E5">
      <w:r>
        <w:t>Wir bitten um entsprechend positive Antwort.</w:t>
      </w:r>
    </w:p>
    <w:p w14:paraId="46686764" w14:textId="2E5354CD" w:rsidR="00435ECD" w:rsidRDefault="00435ECD"/>
    <w:tbl>
      <w:tblPr>
        <w:tblStyle w:val="Tabellenraster"/>
        <w:tblW w:w="0" w:type="auto"/>
        <w:tblLook w:val="04A0" w:firstRow="1" w:lastRow="0" w:firstColumn="1" w:lastColumn="0" w:noHBand="0" w:noVBand="1"/>
      </w:tblPr>
      <w:tblGrid>
        <w:gridCol w:w="3020"/>
        <w:gridCol w:w="3021"/>
        <w:gridCol w:w="3021"/>
      </w:tblGrid>
      <w:tr w:rsidR="00435ECD" w14:paraId="5D8022F3" w14:textId="77777777" w:rsidTr="00435ECD">
        <w:tc>
          <w:tcPr>
            <w:tcW w:w="3020" w:type="dxa"/>
          </w:tcPr>
          <w:p w14:paraId="0F204AC4" w14:textId="587124E3" w:rsidR="00435ECD" w:rsidRDefault="00435ECD" w:rsidP="00435ECD">
            <w:r>
              <w:t>Name, Vorname</w:t>
            </w:r>
          </w:p>
        </w:tc>
        <w:tc>
          <w:tcPr>
            <w:tcW w:w="3021" w:type="dxa"/>
          </w:tcPr>
          <w:p w14:paraId="64E0FEA4" w14:textId="21C5A492" w:rsidR="00435ECD" w:rsidRDefault="00435ECD">
            <w:r>
              <w:t>Wohnort</w:t>
            </w:r>
          </w:p>
        </w:tc>
        <w:tc>
          <w:tcPr>
            <w:tcW w:w="3021" w:type="dxa"/>
          </w:tcPr>
          <w:p w14:paraId="2695D7AF" w14:textId="6EF3C35F" w:rsidR="00435ECD" w:rsidRDefault="00435ECD" w:rsidP="00435ECD">
            <w:r>
              <w:t>Unterschrift</w:t>
            </w:r>
          </w:p>
        </w:tc>
      </w:tr>
      <w:tr w:rsidR="00435ECD" w14:paraId="04C621C9" w14:textId="77777777" w:rsidTr="00435ECD">
        <w:trPr>
          <w:trHeight w:val="624"/>
        </w:trPr>
        <w:tc>
          <w:tcPr>
            <w:tcW w:w="3020" w:type="dxa"/>
          </w:tcPr>
          <w:p w14:paraId="17C99DF8" w14:textId="77777777" w:rsidR="00435ECD" w:rsidRDefault="00435ECD"/>
        </w:tc>
        <w:tc>
          <w:tcPr>
            <w:tcW w:w="3021" w:type="dxa"/>
          </w:tcPr>
          <w:p w14:paraId="2CBDF6D5" w14:textId="77777777" w:rsidR="00435ECD" w:rsidRDefault="00435ECD"/>
        </w:tc>
        <w:tc>
          <w:tcPr>
            <w:tcW w:w="3021" w:type="dxa"/>
          </w:tcPr>
          <w:p w14:paraId="0EB304A7" w14:textId="77777777" w:rsidR="00435ECD" w:rsidRDefault="00435ECD"/>
        </w:tc>
      </w:tr>
      <w:tr w:rsidR="00435ECD" w14:paraId="4C260E18" w14:textId="77777777" w:rsidTr="00435ECD">
        <w:trPr>
          <w:trHeight w:val="624"/>
        </w:trPr>
        <w:tc>
          <w:tcPr>
            <w:tcW w:w="3020" w:type="dxa"/>
          </w:tcPr>
          <w:p w14:paraId="400AC874" w14:textId="77777777" w:rsidR="00435ECD" w:rsidRDefault="00435ECD"/>
        </w:tc>
        <w:tc>
          <w:tcPr>
            <w:tcW w:w="3021" w:type="dxa"/>
          </w:tcPr>
          <w:p w14:paraId="78B8D8F6" w14:textId="77777777" w:rsidR="00435ECD" w:rsidRDefault="00435ECD"/>
        </w:tc>
        <w:tc>
          <w:tcPr>
            <w:tcW w:w="3021" w:type="dxa"/>
          </w:tcPr>
          <w:p w14:paraId="666858DD" w14:textId="77777777" w:rsidR="00435ECD" w:rsidRDefault="00435ECD"/>
        </w:tc>
      </w:tr>
      <w:tr w:rsidR="00435ECD" w14:paraId="7E3D9C4A" w14:textId="77777777" w:rsidTr="00435ECD">
        <w:trPr>
          <w:trHeight w:val="624"/>
        </w:trPr>
        <w:tc>
          <w:tcPr>
            <w:tcW w:w="3020" w:type="dxa"/>
          </w:tcPr>
          <w:p w14:paraId="6AF79990" w14:textId="77777777" w:rsidR="00435ECD" w:rsidRDefault="00435ECD"/>
        </w:tc>
        <w:tc>
          <w:tcPr>
            <w:tcW w:w="3021" w:type="dxa"/>
          </w:tcPr>
          <w:p w14:paraId="37CB2A44" w14:textId="77777777" w:rsidR="00435ECD" w:rsidRDefault="00435ECD"/>
        </w:tc>
        <w:tc>
          <w:tcPr>
            <w:tcW w:w="3021" w:type="dxa"/>
          </w:tcPr>
          <w:p w14:paraId="08213D69" w14:textId="77777777" w:rsidR="00435ECD" w:rsidRDefault="00435ECD"/>
        </w:tc>
      </w:tr>
      <w:tr w:rsidR="00435ECD" w14:paraId="7775847A" w14:textId="77777777" w:rsidTr="00435ECD">
        <w:trPr>
          <w:trHeight w:val="624"/>
        </w:trPr>
        <w:tc>
          <w:tcPr>
            <w:tcW w:w="3020" w:type="dxa"/>
          </w:tcPr>
          <w:p w14:paraId="1CA1B719" w14:textId="77777777" w:rsidR="00435ECD" w:rsidRDefault="00435ECD"/>
        </w:tc>
        <w:tc>
          <w:tcPr>
            <w:tcW w:w="3021" w:type="dxa"/>
          </w:tcPr>
          <w:p w14:paraId="02FA096F" w14:textId="77777777" w:rsidR="00435ECD" w:rsidRDefault="00435ECD"/>
        </w:tc>
        <w:tc>
          <w:tcPr>
            <w:tcW w:w="3021" w:type="dxa"/>
          </w:tcPr>
          <w:p w14:paraId="4D48A883" w14:textId="77777777" w:rsidR="00435ECD" w:rsidRDefault="00435ECD"/>
        </w:tc>
      </w:tr>
      <w:tr w:rsidR="00435ECD" w14:paraId="237F1CAE" w14:textId="77777777" w:rsidTr="00435ECD">
        <w:trPr>
          <w:trHeight w:val="624"/>
        </w:trPr>
        <w:tc>
          <w:tcPr>
            <w:tcW w:w="3020" w:type="dxa"/>
          </w:tcPr>
          <w:p w14:paraId="726839D3" w14:textId="77777777" w:rsidR="00435ECD" w:rsidRDefault="00435ECD"/>
        </w:tc>
        <w:tc>
          <w:tcPr>
            <w:tcW w:w="3021" w:type="dxa"/>
          </w:tcPr>
          <w:p w14:paraId="237F3716" w14:textId="77777777" w:rsidR="00435ECD" w:rsidRDefault="00435ECD"/>
        </w:tc>
        <w:tc>
          <w:tcPr>
            <w:tcW w:w="3021" w:type="dxa"/>
          </w:tcPr>
          <w:p w14:paraId="6270FBF7" w14:textId="77777777" w:rsidR="00435ECD" w:rsidRDefault="00435ECD"/>
        </w:tc>
      </w:tr>
      <w:tr w:rsidR="00435ECD" w14:paraId="4BFEDB1A" w14:textId="77777777" w:rsidTr="00435ECD">
        <w:trPr>
          <w:trHeight w:val="624"/>
        </w:trPr>
        <w:tc>
          <w:tcPr>
            <w:tcW w:w="3020" w:type="dxa"/>
          </w:tcPr>
          <w:p w14:paraId="11D8ED85" w14:textId="77777777" w:rsidR="00435ECD" w:rsidRDefault="00435ECD"/>
        </w:tc>
        <w:tc>
          <w:tcPr>
            <w:tcW w:w="3021" w:type="dxa"/>
          </w:tcPr>
          <w:p w14:paraId="4A1CB40C" w14:textId="77777777" w:rsidR="00435ECD" w:rsidRDefault="00435ECD"/>
        </w:tc>
        <w:tc>
          <w:tcPr>
            <w:tcW w:w="3021" w:type="dxa"/>
          </w:tcPr>
          <w:p w14:paraId="4A341B0F" w14:textId="77777777" w:rsidR="00435ECD" w:rsidRDefault="00435ECD"/>
        </w:tc>
      </w:tr>
      <w:tr w:rsidR="00435ECD" w14:paraId="23C12F03" w14:textId="77777777" w:rsidTr="00435ECD">
        <w:trPr>
          <w:trHeight w:val="624"/>
        </w:trPr>
        <w:tc>
          <w:tcPr>
            <w:tcW w:w="3020" w:type="dxa"/>
          </w:tcPr>
          <w:p w14:paraId="4A91A82B" w14:textId="77777777" w:rsidR="00435ECD" w:rsidRDefault="00435ECD"/>
        </w:tc>
        <w:tc>
          <w:tcPr>
            <w:tcW w:w="3021" w:type="dxa"/>
          </w:tcPr>
          <w:p w14:paraId="50ED59FA" w14:textId="77777777" w:rsidR="00435ECD" w:rsidRDefault="00435ECD"/>
        </w:tc>
        <w:tc>
          <w:tcPr>
            <w:tcW w:w="3021" w:type="dxa"/>
          </w:tcPr>
          <w:p w14:paraId="3CA1BC4A" w14:textId="77777777" w:rsidR="00435ECD" w:rsidRDefault="00435ECD"/>
        </w:tc>
      </w:tr>
      <w:tr w:rsidR="00435ECD" w14:paraId="3FD2A2A7" w14:textId="77777777" w:rsidTr="00435ECD">
        <w:trPr>
          <w:trHeight w:val="624"/>
        </w:trPr>
        <w:tc>
          <w:tcPr>
            <w:tcW w:w="3020" w:type="dxa"/>
          </w:tcPr>
          <w:p w14:paraId="1F2B5C36" w14:textId="77777777" w:rsidR="00435ECD" w:rsidRDefault="00435ECD"/>
        </w:tc>
        <w:tc>
          <w:tcPr>
            <w:tcW w:w="3021" w:type="dxa"/>
          </w:tcPr>
          <w:p w14:paraId="5D7D3465" w14:textId="77777777" w:rsidR="00435ECD" w:rsidRDefault="00435ECD"/>
        </w:tc>
        <w:tc>
          <w:tcPr>
            <w:tcW w:w="3021" w:type="dxa"/>
          </w:tcPr>
          <w:p w14:paraId="274FEA0C" w14:textId="77777777" w:rsidR="00435ECD" w:rsidRDefault="00435ECD"/>
        </w:tc>
      </w:tr>
      <w:tr w:rsidR="00435ECD" w14:paraId="2A17BA5B" w14:textId="77777777" w:rsidTr="00435ECD">
        <w:trPr>
          <w:trHeight w:val="624"/>
        </w:trPr>
        <w:tc>
          <w:tcPr>
            <w:tcW w:w="3020" w:type="dxa"/>
          </w:tcPr>
          <w:p w14:paraId="7A5DE407" w14:textId="77777777" w:rsidR="00435ECD" w:rsidRDefault="00435ECD"/>
        </w:tc>
        <w:tc>
          <w:tcPr>
            <w:tcW w:w="3021" w:type="dxa"/>
          </w:tcPr>
          <w:p w14:paraId="7F01C924" w14:textId="77777777" w:rsidR="00435ECD" w:rsidRDefault="00435ECD"/>
        </w:tc>
        <w:tc>
          <w:tcPr>
            <w:tcW w:w="3021" w:type="dxa"/>
          </w:tcPr>
          <w:p w14:paraId="028E59CD" w14:textId="77777777" w:rsidR="00435ECD" w:rsidRDefault="00435ECD"/>
        </w:tc>
      </w:tr>
      <w:tr w:rsidR="00435ECD" w14:paraId="0C2CC963" w14:textId="77777777" w:rsidTr="00435ECD">
        <w:trPr>
          <w:trHeight w:val="624"/>
        </w:trPr>
        <w:tc>
          <w:tcPr>
            <w:tcW w:w="3020" w:type="dxa"/>
          </w:tcPr>
          <w:p w14:paraId="63618E0B" w14:textId="77777777" w:rsidR="00435ECD" w:rsidRDefault="00435ECD"/>
        </w:tc>
        <w:tc>
          <w:tcPr>
            <w:tcW w:w="3021" w:type="dxa"/>
          </w:tcPr>
          <w:p w14:paraId="30933874" w14:textId="77777777" w:rsidR="00435ECD" w:rsidRDefault="00435ECD"/>
        </w:tc>
        <w:tc>
          <w:tcPr>
            <w:tcW w:w="3021" w:type="dxa"/>
          </w:tcPr>
          <w:p w14:paraId="1AE988AB" w14:textId="77777777" w:rsidR="00435ECD" w:rsidRDefault="00435ECD"/>
        </w:tc>
      </w:tr>
    </w:tbl>
    <w:p w14:paraId="4DE8FE69" w14:textId="77777777" w:rsidR="00435ECD" w:rsidRPr="00F97596" w:rsidRDefault="00435ECD"/>
    <w:sectPr w:rsidR="00435ECD" w:rsidRPr="00F9759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320"/>
    <w:rsid w:val="00097BCB"/>
    <w:rsid w:val="00125FEA"/>
    <w:rsid w:val="001662FB"/>
    <w:rsid w:val="001C1744"/>
    <w:rsid w:val="00306B39"/>
    <w:rsid w:val="003631E5"/>
    <w:rsid w:val="00435ECD"/>
    <w:rsid w:val="00455D31"/>
    <w:rsid w:val="006E3EF9"/>
    <w:rsid w:val="00923812"/>
    <w:rsid w:val="00923B28"/>
    <w:rsid w:val="00A13E02"/>
    <w:rsid w:val="00A92C15"/>
    <w:rsid w:val="00B660AF"/>
    <w:rsid w:val="00BF3246"/>
    <w:rsid w:val="00CF0F97"/>
    <w:rsid w:val="00D74320"/>
    <w:rsid w:val="00E60C42"/>
    <w:rsid w:val="00F975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4F5DC"/>
  <w15:chartTrackingRefBased/>
  <w15:docId w15:val="{F4411268-1E70-4E95-9AA7-6B4632224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455D31"/>
    <w:pPr>
      <w:spacing w:after="0" w:line="240" w:lineRule="auto"/>
    </w:pPr>
  </w:style>
  <w:style w:type="paragraph" w:styleId="Sprechblasentext">
    <w:name w:val="Balloon Text"/>
    <w:basedOn w:val="Standard"/>
    <w:link w:val="SprechblasentextZchn"/>
    <w:uiPriority w:val="99"/>
    <w:semiHidden/>
    <w:unhideWhenUsed/>
    <w:rsid w:val="00CF0F9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F0F97"/>
    <w:rPr>
      <w:rFonts w:ascii="Segoe UI" w:hAnsi="Segoe UI" w:cs="Segoe UI"/>
      <w:sz w:val="18"/>
      <w:szCs w:val="18"/>
    </w:rPr>
  </w:style>
  <w:style w:type="table" w:styleId="Tabellenraster">
    <w:name w:val="Table Grid"/>
    <w:basedOn w:val="NormaleTabelle"/>
    <w:uiPriority w:val="39"/>
    <w:rsid w:val="00435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2707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Vereinte Dienstleistungsgewerkschaft ver.di</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Schneeweiss, Ulli</dc:creator>
  <cp:keywords/>
  <dc:description/>
  <cp:lastModifiedBy>Schneeweiss, Ulli</cp:lastModifiedBy>
  <cp:revision>3</cp:revision>
  <cp:lastPrinted>2023-09-20T10:41:00Z</cp:lastPrinted>
  <dcterms:created xsi:type="dcterms:W3CDTF">2023-09-14T05:53:00Z</dcterms:created>
  <dcterms:modified xsi:type="dcterms:W3CDTF">2023-09-20T14:53:00Z</dcterms:modified>
</cp:coreProperties>
</file>